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43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The DAN Coordinators of APA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RE:         DAN instructions for ads to run the week of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FEBRUARY 9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color w:val="98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bCs w:val="1"/>
            <w:i w:val="1"/>
            <w:iCs w:val="1"/>
            <w:color w:val="980000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Region 1 – Northeast  |  Region 2 – Central  |  Region 3 – Northwest  |  Region 4 – South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Chupps “Claremore 2-19 Auction”, 2x4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Regions 3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(NW)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and 4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(South)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only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NEW 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AD COPY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2: ADH “It’s Their Shot Ad 1 Girl”,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1-26 (two weeks ago) or treat as new ad copy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Bath Makeover, “Triple Savings Sale”,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 (NEW on 2-2)</w:t>
      </w: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4: Leaf Filter, “New Year Clog Free”,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Physicians Mutual, “Dental Insurance”,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Generac,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Olshan Foundation Solutions,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Veteran Car Donations,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9: Erie Metal Roofs,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2-2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10: Liz Buys Houses,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NEW AD COPY</w:t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3WUjx+Nt4m3FAcUNa1WemRBPEw==">CgMxLjA4AHIhMWFrZ3U2WmwtNnlMTHRkWjlETTE5dHlzay05ZGtmVzhT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